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0"/>
          <w:szCs w:val="30"/>
        </w:rPr>
        <w:t>最高人民法院 关于限制被执行人高消费及有关消费的若干规定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第三条 被执行人为自然人的，被采取限制消费措施后，不得有以下高消费及非生活和工作必需的消费行为：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乘坐交通工具时，选择飞机、列车软卧、轮船二等以上舱位；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在星级以上宾馆、酒店、夜总会、高尔夫球场等场所进行高消费；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购买不动产或者新建、扩建、高档装修房屋；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租赁高档写字楼、宾馆、公寓等场所办公；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购买非经营必需车辆；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旅游、度假；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子女就读高收费私立学校；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支付高额保费购买保险理财产品；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乘坐G字头动车组列车全部座位、其他动车组列车一等以上座位等其他非生活和工作必需的消费行为。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122"/>
    <w:multiLevelType w:val="multilevel"/>
    <w:tmpl w:val="1A3E6122"/>
    <w:lvl w:ilvl="0" w:tentative="0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0648"/>
    <w:rsid w:val="4D8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2020-05-19T09:57:00Z</dcterms:created>
  <dc:creator>GKL</dc:creator>
  <cp:lastModifiedBy>GKL</cp:lastModifiedBy>
  <dcterms:modified xsi:type="dcterms:W3CDTF">2020-05-19T09:58:03Z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