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67666">
      <w:r>
        <w:rPr>
          <w:rFonts w:hint="eastAsia"/>
        </w:rPr>
        <w:t>附件：</w:t>
      </w:r>
    </w:p>
    <w:p w14:paraId="43D7B997">
      <w:pPr>
        <w:jc w:val="center"/>
        <w:rPr>
          <w:rFonts w:hint="eastAsia" w:ascii="方正小标宋简体" w:eastAsia="方正小标宋简体"/>
          <w:sz w:val="44"/>
          <w:szCs w:val="44"/>
        </w:rPr>
      </w:pPr>
      <w:r>
        <w:rPr>
          <w:rFonts w:hint="eastAsia" w:ascii="方正小标宋简体" w:eastAsia="方正小标宋简体"/>
          <w:sz w:val="44"/>
          <w:szCs w:val="44"/>
        </w:rPr>
        <w:t>2027年度预算编制工作实施方案</w:t>
      </w:r>
    </w:p>
    <w:p w14:paraId="6EAB32E9">
      <w:pPr>
        <w:ind w:firstLine="640" w:firstLineChars="200"/>
      </w:pPr>
      <w:r>
        <w:rPr>
          <w:rFonts w:hint="eastAsia"/>
        </w:rPr>
        <w:t>根据《河北医科大学预算管理办法（修订）》和《河北医科大学项目预算管理暂行办法》等相关要求，结合学校工作实际，现就</w:t>
      </w:r>
      <w:r>
        <w:t>2027年度预算编制工作有关事项安排如下。</w:t>
      </w:r>
    </w:p>
    <w:p w14:paraId="04BC26DC">
      <w:pPr>
        <w:ind w:firstLine="640" w:firstLineChars="200"/>
        <w:rPr>
          <w:rFonts w:ascii="黑体" w:hAnsi="黑体" w:eastAsia="黑体"/>
        </w:rPr>
      </w:pPr>
      <w:r>
        <w:rPr>
          <w:rFonts w:hint="eastAsia" w:ascii="黑体" w:hAnsi="黑体" w:eastAsia="黑体"/>
        </w:rPr>
        <w:t>一、总体原则</w:t>
      </w:r>
    </w:p>
    <w:p w14:paraId="50BC34A2">
      <w:pPr>
        <w:ind w:firstLine="640" w:firstLineChars="200"/>
      </w:pPr>
      <w:r>
        <w:t>2027年度预算编制工作由</w:t>
      </w:r>
      <w:r>
        <w:rPr>
          <w:b/>
        </w:rPr>
        <w:t>发展规划处</w:t>
      </w:r>
      <w:r>
        <w:t>与</w:t>
      </w:r>
      <w:r>
        <w:rPr>
          <w:b/>
        </w:rPr>
        <w:t>财务处</w:t>
      </w:r>
      <w:r>
        <w:t>共同组织。各部门应紧紧围绕学校事业发展总体规划，坚持“量入为出、厉行节约、优化结构、突出重点、统筹兼顾、讲求绩效”的总原则，积极稳妥、从严从紧编制本年度预算。</w:t>
      </w:r>
    </w:p>
    <w:p w14:paraId="4E91E417">
      <w:pPr>
        <w:ind w:firstLine="640" w:firstLineChars="200"/>
        <w:rPr>
          <w:rFonts w:ascii="楷体" w:hAnsi="楷体" w:eastAsia="楷体"/>
        </w:rPr>
      </w:pPr>
      <w:r>
        <w:rPr>
          <w:rFonts w:hint="eastAsia" w:ascii="楷体" w:hAnsi="楷体" w:eastAsia="楷体"/>
        </w:rPr>
        <w:t>（一）编实编细，实事求是</w:t>
      </w:r>
    </w:p>
    <w:p w14:paraId="14016323">
      <w:pPr>
        <w:ind w:firstLine="640" w:firstLineChars="200"/>
      </w:pPr>
      <w:r>
        <w:rPr>
          <w:rFonts w:hint="eastAsia"/>
        </w:rPr>
        <w:t>实行“零基预算”编制方式，即所有支出均以零为起点，不以上年预算为基数，严格遵循“</w:t>
      </w:r>
      <w:r>
        <w:rPr>
          <w:rFonts w:hint="eastAsia"/>
          <w:b/>
        </w:rPr>
        <w:t>先定事、后定钱</w:t>
      </w:r>
      <w:r>
        <w:rPr>
          <w:rFonts w:hint="eastAsia"/>
        </w:rPr>
        <w:t>”的原则，逐项据实申报。所有收支均须纳入预算管理，由学校统筹安排。各部门应树立统筹观念，盘活存量资金，强化绩效评价，切实提高预算的完整性、规范性和约束力。</w:t>
      </w:r>
    </w:p>
    <w:p w14:paraId="126E6A54">
      <w:pPr>
        <w:ind w:firstLine="640" w:firstLineChars="200"/>
        <w:rPr>
          <w:rFonts w:ascii="楷体" w:hAnsi="楷体" w:eastAsia="楷体"/>
        </w:rPr>
      </w:pPr>
      <w:r>
        <w:rPr>
          <w:rFonts w:hint="eastAsia" w:ascii="楷体" w:hAnsi="楷体" w:eastAsia="楷体"/>
        </w:rPr>
        <w:t>（二）量入为出，收支平衡</w:t>
      </w:r>
    </w:p>
    <w:p w14:paraId="0A321D72">
      <w:pPr>
        <w:ind w:firstLine="640" w:firstLineChars="200"/>
      </w:pPr>
      <w:r>
        <w:rPr>
          <w:rFonts w:hint="eastAsia"/>
        </w:rPr>
        <w:t>收入预算应积极稳妥、科学准确、真实完整，既要挖掘潜力、积极创收，又要合理测算、不虚报不漏报。支出预算应统筹兼顾、保证重点、勤俭节约，量入为出、量力而行。</w:t>
      </w:r>
    </w:p>
    <w:p w14:paraId="16C876BB">
      <w:pPr>
        <w:ind w:firstLine="640" w:firstLineChars="200"/>
        <w:rPr>
          <w:rFonts w:ascii="楷体" w:hAnsi="楷体" w:eastAsia="楷体"/>
        </w:rPr>
      </w:pPr>
      <w:r>
        <w:rPr>
          <w:rFonts w:hint="eastAsia" w:ascii="楷体" w:hAnsi="楷体" w:eastAsia="楷体"/>
        </w:rPr>
        <w:t>（三）优化配置，保障重点</w:t>
      </w:r>
    </w:p>
    <w:p w14:paraId="62E4762A">
      <w:pPr>
        <w:ind w:firstLine="640" w:firstLineChars="200"/>
      </w:pPr>
      <w:r>
        <w:rPr>
          <w:rFonts w:hint="eastAsia"/>
        </w:rPr>
        <w:t>按照“</w:t>
      </w:r>
      <w:r>
        <w:rPr>
          <w:rFonts w:hint="eastAsia"/>
          <w:b/>
        </w:rPr>
        <w:t>保民生、保运转、保重点</w:t>
      </w:r>
      <w:r>
        <w:rPr>
          <w:rFonts w:hint="eastAsia"/>
        </w:rPr>
        <w:t>”的优先顺序开展预算编制。学校将结合财力可能、事业发展目标及各部门预算执行情况和绩效评价结果，统筹确定预算安排方案。</w:t>
      </w:r>
    </w:p>
    <w:p w14:paraId="31847831">
      <w:pPr>
        <w:ind w:firstLine="640" w:firstLineChars="200"/>
        <w:rPr>
          <w:rFonts w:ascii="楷体" w:hAnsi="楷体" w:eastAsia="楷体"/>
        </w:rPr>
      </w:pPr>
      <w:r>
        <w:rPr>
          <w:rFonts w:hint="eastAsia" w:ascii="楷体" w:hAnsi="楷体" w:eastAsia="楷体"/>
        </w:rPr>
        <w:t>（四）厉行节约，勤俭办学</w:t>
      </w:r>
    </w:p>
    <w:p w14:paraId="1AB4F86E">
      <w:pPr>
        <w:ind w:firstLine="640" w:firstLineChars="200"/>
        <w:rPr>
          <w:rFonts w:hint="default" w:eastAsia="仿宋"/>
          <w:lang w:val="en-US" w:eastAsia="zh-CN"/>
        </w:rPr>
      </w:pPr>
      <w:r>
        <w:rPr>
          <w:rFonts w:hint="eastAsia"/>
        </w:rPr>
        <w:t>严格贯彻落实党中央“过紧日子”要求</w:t>
      </w:r>
      <w:r>
        <w:rPr>
          <w:rFonts w:hint="eastAsia"/>
          <w:lang w:eastAsia="zh-CN"/>
        </w:rPr>
        <w:t>，</w:t>
      </w:r>
      <w:r>
        <w:rPr>
          <w:rFonts w:hint="eastAsia"/>
          <w:lang w:val="en-US" w:eastAsia="zh-CN"/>
        </w:rPr>
        <w:t>按照学校《关于牢固树立“过紧日子”思想勤俭办学的若干措施》，</w:t>
      </w:r>
      <w:r>
        <w:rPr>
          <w:rFonts w:hint="eastAsia"/>
          <w:lang w:val="en-US" w:eastAsia="zh-CN"/>
        </w:rPr>
        <w:tab/>
      </w:r>
      <w:r>
        <w:rPr>
          <w:rFonts w:hint="eastAsia"/>
          <w:lang w:val="en-US" w:eastAsia="zh-CN"/>
        </w:rPr>
        <w:t>坚决压减非急需、非刚性支出，严控“三公”经费及一般性支出规模。各部门需强化成本意识，杜绝铺张浪费，将有限资金精准投向教学科研关键领域与办学重点环节。</w:t>
      </w:r>
    </w:p>
    <w:p w14:paraId="000F66AC">
      <w:pPr>
        <w:ind w:firstLine="640" w:firstLineChars="200"/>
      </w:pPr>
      <w:r>
        <w:t>1.压减公用经费：在2026年预算分配额度基础上，暂按10%压减上报。</w:t>
      </w:r>
    </w:p>
    <w:p w14:paraId="358E1303">
      <w:pPr>
        <w:ind w:firstLine="640" w:firstLineChars="200"/>
      </w:pPr>
      <w:r>
        <w:t>2.严控“三公”经费：预算额度只减不增。</w:t>
      </w:r>
    </w:p>
    <w:p w14:paraId="060ECC1D">
      <w:pPr>
        <w:ind w:firstLine="640" w:firstLineChars="200"/>
      </w:pPr>
      <w:r>
        <w:t>3.资产配置衔接：新增资产须与存量资产统筹管理，避免重复购置。</w:t>
      </w:r>
    </w:p>
    <w:p w14:paraId="78D12F73">
      <w:pPr>
        <w:ind w:firstLine="640" w:firstLineChars="200"/>
        <w:rPr>
          <w:rFonts w:ascii="楷体" w:hAnsi="楷体" w:eastAsia="楷体"/>
        </w:rPr>
      </w:pPr>
      <w:r>
        <w:rPr>
          <w:rFonts w:hint="eastAsia" w:ascii="楷体" w:hAnsi="楷体" w:eastAsia="楷体"/>
        </w:rPr>
        <w:t>（五）强化约束，规范执行</w:t>
      </w:r>
    </w:p>
    <w:p w14:paraId="7AA2FFC8">
      <w:pPr>
        <w:ind w:firstLine="640" w:firstLineChars="200"/>
      </w:pPr>
      <w:r>
        <w:rPr>
          <w:rFonts w:hint="eastAsia"/>
        </w:rPr>
        <w:t>严肃财经纪律，强化预算刚性约束，严控预算追加与调整。各部门应将绩效管理理念融入预算编制、执行、监督全过程，提高资金使用效益。</w:t>
      </w:r>
    </w:p>
    <w:p w14:paraId="433206CA">
      <w:pPr>
        <w:ind w:firstLine="640" w:firstLineChars="200"/>
        <w:rPr>
          <w:rFonts w:ascii="黑体" w:hAnsi="黑体" w:eastAsia="黑体"/>
        </w:rPr>
      </w:pPr>
      <w:r>
        <w:rPr>
          <w:rFonts w:hint="eastAsia" w:ascii="黑体" w:hAnsi="黑体" w:eastAsia="黑体"/>
        </w:rPr>
        <w:t>二、预算编制内容</w:t>
      </w:r>
    </w:p>
    <w:p w14:paraId="33AC9738">
      <w:pPr>
        <w:ind w:firstLine="640" w:firstLineChars="200"/>
      </w:pPr>
      <w:r>
        <w:t>2027年度预算实行零基预算，分为收入预算和支出预算两大部分。上年未完成、需跨年继续实施的项目，应按程序提出结转申请；未经审批的，须重新申报。</w:t>
      </w:r>
    </w:p>
    <w:p w14:paraId="5967D070">
      <w:pPr>
        <w:ind w:firstLine="640" w:firstLineChars="200"/>
        <w:rPr>
          <w:rFonts w:ascii="楷体" w:hAnsi="楷体" w:eastAsia="楷体"/>
        </w:rPr>
      </w:pPr>
      <w:r>
        <w:rPr>
          <w:rFonts w:hint="eastAsia" w:ascii="楷体" w:hAnsi="楷体" w:eastAsia="楷体"/>
        </w:rPr>
        <w:t>（一）收入预算</w:t>
      </w:r>
    </w:p>
    <w:p w14:paraId="4E4729E3">
      <w:pPr>
        <w:ind w:firstLine="640" w:firstLineChars="200"/>
      </w:pPr>
      <w:r>
        <w:rPr>
          <w:rFonts w:hint="eastAsia"/>
        </w:rPr>
        <w:t>收入预算包括财政拨款收入、教育事业收入、科研事业收入、其他收入四大类。各部门应结合本部门教育资源和资产占用情况，合理编制收入预算，做到不虚报、不漏报。</w:t>
      </w:r>
    </w:p>
    <w:p w14:paraId="35E3D01D">
      <w:pPr>
        <w:ind w:firstLine="640" w:firstLineChars="200"/>
        <w:rPr>
          <w:rFonts w:ascii="楷体" w:hAnsi="楷体" w:eastAsia="楷体"/>
        </w:rPr>
      </w:pPr>
      <w:r>
        <w:rPr>
          <w:rFonts w:hint="eastAsia" w:ascii="楷体" w:hAnsi="楷体" w:eastAsia="楷体"/>
        </w:rPr>
        <w:t>（二）支出预算</w:t>
      </w:r>
    </w:p>
    <w:p w14:paraId="40077C88">
      <w:pPr>
        <w:ind w:firstLine="640" w:firstLineChars="200"/>
      </w:pPr>
      <w:r>
        <w:rPr>
          <w:rFonts w:hint="eastAsia"/>
        </w:rPr>
        <w:t>支出预算分为</w:t>
      </w:r>
      <w:r>
        <w:rPr>
          <w:rFonts w:hint="eastAsia"/>
          <w:b/>
        </w:rPr>
        <w:t>人员支出、公用支出</w:t>
      </w:r>
      <w:r>
        <w:rPr>
          <w:rFonts w:hint="eastAsia"/>
        </w:rPr>
        <w:t>（含专项业务经费）、</w:t>
      </w:r>
      <w:r>
        <w:rPr>
          <w:rFonts w:hint="eastAsia"/>
          <w:b/>
        </w:rPr>
        <w:t>专项项目支出</w:t>
      </w:r>
      <w:r>
        <w:rPr>
          <w:rFonts w:hint="eastAsia"/>
        </w:rPr>
        <w:t>三部分。凡按专项业务和专项项目编制的支出，须将项目名称、内容、测算依据、申报金额与理由填列清楚，</w:t>
      </w:r>
      <w:r>
        <w:rPr>
          <w:rFonts w:hint="eastAsia"/>
          <w:b/>
        </w:rPr>
        <w:t>未按要求填报的不予安排</w:t>
      </w:r>
      <w:r>
        <w:rPr>
          <w:rFonts w:hint="eastAsia"/>
        </w:rPr>
        <w:t>。</w:t>
      </w:r>
    </w:p>
    <w:p w14:paraId="09794235">
      <w:pPr>
        <w:ind w:firstLine="640" w:firstLineChars="200"/>
      </w:pPr>
      <w:r>
        <w:t>1. 人员支出预算</w:t>
      </w:r>
    </w:p>
    <w:p w14:paraId="3F922B2A">
      <w:pPr>
        <w:ind w:firstLine="640" w:firstLineChars="200"/>
      </w:pPr>
      <w:r>
        <w:rPr>
          <w:rFonts w:hint="eastAsia"/>
        </w:rPr>
        <w:t>由</w:t>
      </w:r>
      <w:r>
        <w:rPr>
          <w:rFonts w:hint="eastAsia"/>
          <w:b/>
        </w:rPr>
        <w:t>人事处</w:t>
      </w:r>
      <w:r>
        <w:rPr>
          <w:rFonts w:hint="eastAsia"/>
        </w:rPr>
        <w:t>统一测算，各单位负责提供测算依据及相关数据。未纳入预算的人员经费原则上不予安排，待有合理收入来源时再行解决。</w:t>
      </w:r>
    </w:p>
    <w:p w14:paraId="79C09C85">
      <w:pPr>
        <w:ind w:firstLine="640" w:firstLineChars="200"/>
      </w:pPr>
      <w:r>
        <w:t>2. 公用支出预算</w:t>
      </w:r>
    </w:p>
    <w:tbl>
      <w:tblPr>
        <w:tblStyle w:val="4"/>
        <w:tblW w:w="0" w:type="auto"/>
        <w:jc w:val="center"/>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autofit"/>
        <w:tblCellMar>
          <w:top w:w="0" w:type="dxa"/>
          <w:left w:w="108" w:type="dxa"/>
          <w:bottom w:w="0" w:type="dxa"/>
          <w:right w:w="108" w:type="dxa"/>
        </w:tblCellMar>
      </w:tblPr>
      <w:tblGrid>
        <w:gridCol w:w="1793"/>
        <w:gridCol w:w="6729"/>
      </w:tblGrid>
      <w:tr w14:paraId="4DF193D8">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CellMar>
            <w:top w:w="0" w:type="dxa"/>
            <w:left w:w="108" w:type="dxa"/>
            <w:bottom w:w="0" w:type="dxa"/>
            <w:right w:w="108" w:type="dxa"/>
          </w:tblCellMar>
        </w:tblPrEx>
        <w:trPr>
          <w:jc w:val="center"/>
        </w:trPr>
        <w:tc>
          <w:tcPr>
            <w:tcW w:w="1811" w:type="dxa"/>
            <w:tcBorders>
              <w:top w:val="single" w:color="A6A6A6" w:sz="4" w:space="0"/>
              <w:left w:val="single" w:color="A6A6A6" w:sz="4" w:space="0"/>
              <w:bottom w:val="single" w:color="A6A6A6" w:sz="4" w:space="0"/>
              <w:right w:val="single" w:color="A6A6A6" w:sz="4" w:space="0"/>
            </w:tcBorders>
          </w:tcPr>
          <w:p w14:paraId="072D2884">
            <w:pPr>
              <w:spacing w:before="40" w:after="40"/>
              <w:rPr>
                <w:rFonts w:ascii="仿宋" w:hAnsi="仿宋"/>
                <w:sz w:val="24"/>
                <w:szCs w:val="24"/>
              </w:rPr>
            </w:pPr>
            <w:r>
              <w:rPr>
                <w:rFonts w:hint="eastAsia" w:ascii="仿宋" w:hAnsi="仿宋"/>
                <w:b/>
                <w:color w:val="000000"/>
                <w:sz w:val="24"/>
                <w:szCs w:val="24"/>
              </w:rPr>
              <w:t>类别</w:t>
            </w:r>
          </w:p>
        </w:tc>
        <w:tc>
          <w:tcPr>
            <w:tcW w:w="6823" w:type="dxa"/>
            <w:tcBorders>
              <w:top w:val="single" w:color="A6A6A6" w:sz="4" w:space="0"/>
              <w:left w:val="single" w:color="A6A6A6" w:sz="4" w:space="0"/>
              <w:bottom w:val="single" w:color="A6A6A6" w:sz="4" w:space="0"/>
              <w:right w:val="single" w:color="A6A6A6" w:sz="4" w:space="0"/>
            </w:tcBorders>
          </w:tcPr>
          <w:p w14:paraId="37A442E7">
            <w:pPr>
              <w:spacing w:before="40" w:after="40"/>
              <w:rPr>
                <w:rFonts w:hint="eastAsia" w:ascii="仿宋" w:hAnsi="仿宋"/>
                <w:sz w:val="24"/>
                <w:szCs w:val="24"/>
              </w:rPr>
            </w:pPr>
            <w:r>
              <w:rPr>
                <w:rFonts w:hint="eastAsia" w:ascii="仿宋" w:hAnsi="仿宋"/>
                <w:b/>
                <w:color w:val="000000"/>
                <w:sz w:val="24"/>
                <w:szCs w:val="24"/>
              </w:rPr>
              <w:t>核定方式</w:t>
            </w:r>
          </w:p>
        </w:tc>
      </w:tr>
      <w:tr w14:paraId="6B3F07CE">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CellMar>
            <w:top w:w="0" w:type="dxa"/>
            <w:left w:w="108" w:type="dxa"/>
            <w:bottom w:w="0" w:type="dxa"/>
            <w:right w:w="108" w:type="dxa"/>
          </w:tblCellMar>
        </w:tblPrEx>
        <w:trPr>
          <w:jc w:val="center"/>
        </w:trPr>
        <w:tc>
          <w:tcPr>
            <w:tcW w:w="1811" w:type="dxa"/>
            <w:tcBorders>
              <w:top w:val="single" w:color="A6A6A6" w:sz="4" w:space="0"/>
              <w:left w:val="single" w:color="A6A6A6" w:sz="4" w:space="0"/>
              <w:bottom w:val="single" w:color="A6A6A6" w:sz="4" w:space="0"/>
              <w:right w:val="single" w:color="A6A6A6" w:sz="4" w:space="0"/>
            </w:tcBorders>
          </w:tcPr>
          <w:p w14:paraId="777B9EDF">
            <w:pPr>
              <w:spacing w:before="40" w:after="40"/>
              <w:rPr>
                <w:rFonts w:hint="eastAsia" w:ascii="仿宋" w:hAnsi="仿宋"/>
                <w:sz w:val="24"/>
                <w:szCs w:val="24"/>
              </w:rPr>
            </w:pPr>
            <w:r>
              <w:rPr>
                <w:rFonts w:hint="eastAsia" w:ascii="仿宋" w:hAnsi="仿宋"/>
                <w:sz w:val="24"/>
                <w:szCs w:val="24"/>
              </w:rPr>
              <w:t>日常公用支出</w:t>
            </w:r>
          </w:p>
        </w:tc>
        <w:tc>
          <w:tcPr>
            <w:tcW w:w="6823" w:type="dxa"/>
            <w:tcBorders>
              <w:top w:val="single" w:color="A6A6A6" w:sz="4" w:space="0"/>
              <w:left w:val="single" w:color="A6A6A6" w:sz="4" w:space="0"/>
              <w:bottom w:val="single" w:color="A6A6A6" w:sz="4" w:space="0"/>
              <w:right w:val="single" w:color="A6A6A6" w:sz="4" w:space="0"/>
            </w:tcBorders>
          </w:tcPr>
          <w:p w14:paraId="1971B28A">
            <w:pPr>
              <w:spacing w:before="40" w:after="40"/>
              <w:rPr>
                <w:rFonts w:hint="eastAsia" w:ascii="仿宋" w:hAnsi="仿宋"/>
                <w:sz w:val="24"/>
                <w:szCs w:val="24"/>
              </w:rPr>
            </w:pPr>
            <w:r>
              <w:rPr>
                <w:rFonts w:hint="eastAsia" w:ascii="仿宋" w:hAnsi="仿宋"/>
                <w:sz w:val="24"/>
                <w:szCs w:val="24"/>
              </w:rPr>
              <w:t>由人员定额（</w:t>
            </w:r>
            <w:r>
              <w:rPr>
                <w:rFonts w:hint="eastAsia" w:ascii="仿宋" w:hAnsi="仿宋"/>
                <w:b/>
                <w:sz w:val="24"/>
                <w:szCs w:val="24"/>
              </w:rPr>
              <w:t>1100元/人</w:t>
            </w:r>
            <w:r>
              <w:rPr>
                <w:rFonts w:hint="eastAsia" w:ascii="仿宋" w:hAnsi="仿宋"/>
                <w:sz w:val="24"/>
                <w:szCs w:val="24"/>
              </w:rPr>
              <w:t>，按2027年1月在编教职工数核定）+ 定额补助（根据实际办公需要核定）组成</w:t>
            </w:r>
          </w:p>
        </w:tc>
      </w:tr>
      <w:tr w14:paraId="69F171B6">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CellMar>
            <w:top w:w="0" w:type="dxa"/>
            <w:left w:w="108" w:type="dxa"/>
            <w:bottom w:w="0" w:type="dxa"/>
            <w:right w:w="108" w:type="dxa"/>
          </w:tblCellMar>
        </w:tblPrEx>
        <w:trPr>
          <w:jc w:val="center"/>
        </w:trPr>
        <w:tc>
          <w:tcPr>
            <w:tcW w:w="1811" w:type="dxa"/>
            <w:tcBorders>
              <w:top w:val="single" w:color="A6A6A6" w:sz="4" w:space="0"/>
              <w:left w:val="single" w:color="A6A6A6" w:sz="4" w:space="0"/>
              <w:bottom w:val="single" w:color="A6A6A6" w:sz="4" w:space="0"/>
              <w:right w:val="single" w:color="A6A6A6" w:sz="4" w:space="0"/>
            </w:tcBorders>
          </w:tcPr>
          <w:p w14:paraId="536D4333">
            <w:pPr>
              <w:spacing w:before="40" w:after="40"/>
              <w:rPr>
                <w:rFonts w:hint="eastAsia" w:ascii="仿宋" w:hAnsi="仿宋"/>
                <w:sz w:val="24"/>
                <w:szCs w:val="24"/>
              </w:rPr>
            </w:pPr>
            <w:r>
              <w:rPr>
                <w:rFonts w:hint="eastAsia" w:ascii="仿宋" w:hAnsi="仿宋"/>
                <w:sz w:val="24"/>
                <w:szCs w:val="24"/>
              </w:rPr>
              <w:t>专项业务经费</w:t>
            </w:r>
          </w:p>
        </w:tc>
        <w:tc>
          <w:tcPr>
            <w:tcW w:w="6823" w:type="dxa"/>
            <w:tcBorders>
              <w:top w:val="single" w:color="A6A6A6" w:sz="4" w:space="0"/>
              <w:left w:val="single" w:color="A6A6A6" w:sz="4" w:space="0"/>
              <w:bottom w:val="single" w:color="A6A6A6" w:sz="4" w:space="0"/>
              <w:right w:val="single" w:color="A6A6A6" w:sz="4" w:space="0"/>
            </w:tcBorders>
          </w:tcPr>
          <w:p w14:paraId="3DC8A2D5">
            <w:pPr>
              <w:spacing w:before="40" w:after="40"/>
              <w:rPr>
                <w:rFonts w:hint="eastAsia" w:ascii="仿宋" w:hAnsi="仿宋"/>
                <w:sz w:val="24"/>
                <w:szCs w:val="24"/>
              </w:rPr>
            </w:pPr>
            <w:r>
              <w:rPr>
                <w:rFonts w:hint="eastAsia" w:ascii="仿宋" w:hAnsi="仿宋"/>
                <w:sz w:val="24"/>
                <w:szCs w:val="24"/>
              </w:rPr>
              <w:t>各单位根据事业发展规划、部门职责和年度工作计划编报</w:t>
            </w:r>
          </w:p>
        </w:tc>
      </w:tr>
      <w:tr w14:paraId="5AE8B8E9">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CellMar>
            <w:top w:w="0" w:type="dxa"/>
            <w:left w:w="108" w:type="dxa"/>
            <w:bottom w:w="0" w:type="dxa"/>
            <w:right w:w="108" w:type="dxa"/>
          </w:tblCellMar>
        </w:tblPrEx>
        <w:trPr>
          <w:jc w:val="center"/>
        </w:trPr>
        <w:tc>
          <w:tcPr>
            <w:tcW w:w="1811" w:type="dxa"/>
            <w:tcBorders>
              <w:top w:val="single" w:color="A6A6A6" w:sz="4" w:space="0"/>
              <w:left w:val="single" w:color="A6A6A6" w:sz="4" w:space="0"/>
              <w:bottom w:val="single" w:color="A6A6A6" w:sz="4" w:space="0"/>
              <w:right w:val="single" w:color="A6A6A6" w:sz="4" w:space="0"/>
            </w:tcBorders>
          </w:tcPr>
          <w:p w14:paraId="78F5C232">
            <w:pPr>
              <w:spacing w:before="40" w:after="40"/>
              <w:rPr>
                <w:rFonts w:hint="eastAsia" w:ascii="仿宋" w:hAnsi="仿宋"/>
                <w:sz w:val="24"/>
                <w:szCs w:val="24"/>
              </w:rPr>
            </w:pPr>
          </w:p>
          <w:p w14:paraId="63F94C4F">
            <w:pPr>
              <w:spacing w:before="40" w:after="40"/>
              <w:rPr>
                <w:rFonts w:hint="eastAsia" w:ascii="仿宋" w:hAnsi="仿宋"/>
                <w:sz w:val="24"/>
                <w:szCs w:val="24"/>
              </w:rPr>
            </w:pPr>
          </w:p>
          <w:p w14:paraId="44339C14">
            <w:pPr>
              <w:spacing w:before="40" w:after="40"/>
              <w:rPr>
                <w:rFonts w:hint="eastAsia" w:ascii="仿宋" w:hAnsi="仿宋"/>
                <w:sz w:val="24"/>
                <w:szCs w:val="24"/>
              </w:rPr>
            </w:pPr>
            <w:r>
              <w:rPr>
                <w:rFonts w:hint="eastAsia" w:ascii="仿宋" w:hAnsi="仿宋"/>
                <w:sz w:val="24"/>
                <w:szCs w:val="24"/>
              </w:rPr>
              <w:t>其中：印刷费</w:t>
            </w:r>
          </w:p>
          <w:p w14:paraId="661172F8">
            <w:pPr>
              <w:spacing w:before="40" w:after="40"/>
              <w:rPr>
                <w:rFonts w:hint="eastAsia" w:ascii="仿宋" w:hAnsi="仿宋"/>
                <w:sz w:val="24"/>
                <w:szCs w:val="24"/>
              </w:rPr>
            </w:pPr>
          </w:p>
          <w:p w14:paraId="596D81D9">
            <w:pPr>
              <w:spacing w:before="40" w:after="40"/>
              <w:rPr>
                <w:rFonts w:hint="eastAsia" w:ascii="仿宋" w:hAnsi="仿宋"/>
                <w:sz w:val="24"/>
                <w:szCs w:val="24"/>
              </w:rPr>
            </w:pPr>
          </w:p>
        </w:tc>
        <w:tc>
          <w:tcPr>
            <w:tcW w:w="6823" w:type="dxa"/>
            <w:tcBorders>
              <w:top w:val="single" w:color="A6A6A6" w:sz="4" w:space="0"/>
              <w:left w:val="single" w:color="A6A6A6" w:sz="4" w:space="0"/>
              <w:bottom w:val="single" w:color="A6A6A6" w:sz="4" w:space="0"/>
              <w:right w:val="single" w:color="A6A6A6" w:sz="4" w:space="0"/>
            </w:tcBorders>
          </w:tcPr>
          <w:p w14:paraId="1239B1AD">
            <w:pPr>
              <w:spacing w:before="40" w:after="40"/>
              <w:ind w:firstLine="480" w:firstLineChars="200"/>
              <w:rPr>
                <w:rFonts w:hint="eastAsia" w:ascii="仿宋" w:hAnsi="仿宋"/>
                <w:sz w:val="24"/>
                <w:szCs w:val="24"/>
              </w:rPr>
            </w:pPr>
            <w:r>
              <w:rPr>
                <w:rFonts w:hint="eastAsia" w:ascii="仿宋" w:hAnsi="仿宋"/>
                <w:sz w:val="24"/>
                <w:szCs w:val="24"/>
              </w:rPr>
              <w:t>采购金额在限额标准以下的执行框架协议采购；采购金额在限额标准以上的，按照政府采购项目执行政府采购程序。</w:t>
            </w:r>
          </w:p>
          <w:p w14:paraId="0DDDA1F8">
            <w:pPr>
              <w:spacing w:before="40" w:after="40"/>
              <w:ind w:firstLine="482" w:firstLineChars="200"/>
              <w:rPr>
                <w:rFonts w:hint="eastAsia" w:ascii="仿宋" w:hAnsi="仿宋"/>
                <w:sz w:val="24"/>
                <w:szCs w:val="24"/>
              </w:rPr>
            </w:pPr>
            <w:r>
              <w:rPr>
                <w:rFonts w:hint="eastAsia" w:ascii="仿宋" w:hAnsi="仿宋"/>
                <w:b/>
                <w:bCs/>
                <w:sz w:val="24"/>
                <w:szCs w:val="24"/>
              </w:rPr>
              <w:t>印刷费编报应注明：印刷品名称、数量、预算金额、技术参数（如纸张规格、印刷工艺、装订要求等）、印刷时间等</w:t>
            </w:r>
            <w:r>
              <w:rPr>
                <w:rFonts w:hint="eastAsia" w:ascii="仿宋" w:hAnsi="仿宋"/>
                <w:sz w:val="24"/>
                <w:szCs w:val="24"/>
              </w:rPr>
              <w:t>。</w:t>
            </w:r>
          </w:p>
          <w:p w14:paraId="2EB42117">
            <w:pPr>
              <w:spacing w:before="40" w:after="40"/>
              <w:ind w:firstLine="480" w:firstLineChars="200"/>
              <w:rPr>
                <w:rFonts w:hint="eastAsia" w:ascii="仿宋" w:hAnsi="仿宋"/>
                <w:sz w:val="24"/>
                <w:szCs w:val="24"/>
              </w:rPr>
            </w:pPr>
            <w:r>
              <w:rPr>
                <w:rFonts w:hint="eastAsia" w:ascii="仿宋" w:hAnsi="仿宋"/>
                <w:sz w:val="24"/>
                <w:szCs w:val="24"/>
              </w:rPr>
              <w:t>涉密文件、内部文件等资料印刷服务以及本期框架协议采购活动不能满足采购需求的，采购人应按照预算管理相关规定和单位政府采购内控制度开展采购活动，并留档记录。</w:t>
            </w:r>
          </w:p>
        </w:tc>
      </w:tr>
    </w:tbl>
    <w:p w14:paraId="3C5A2F23">
      <w:pPr>
        <w:ind w:firstLine="640" w:firstLineChars="200"/>
      </w:pPr>
      <w:r>
        <w:t>3. 专项项目经费预算</w:t>
      </w:r>
    </w:p>
    <w:p w14:paraId="2291905C">
      <w:pPr>
        <w:ind w:firstLine="640" w:firstLineChars="200"/>
      </w:pPr>
      <w:r>
        <w:rPr>
          <w:rFonts w:hint="eastAsia"/>
        </w:rPr>
        <w:t>（</w:t>
      </w:r>
      <w:r>
        <w:t>1）定义</w:t>
      </w:r>
    </w:p>
    <w:p w14:paraId="4ABE0A0A">
      <w:pPr>
        <w:ind w:firstLine="640" w:firstLineChars="200"/>
      </w:pPr>
      <w:r>
        <w:rPr>
          <w:rFonts w:hint="eastAsia"/>
        </w:rPr>
        <w:t>专项项目经费是指各部门为完成特定工作任务和事业发展目标，在日常公用和专项业务经费之外编制的项目支出计划。</w:t>
      </w:r>
    </w:p>
    <w:p w14:paraId="49F90DF3">
      <w:pPr>
        <w:ind w:firstLine="640" w:firstLineChars="200"/>
      </w:pPr>
      <w:r>
        <w:rPr>
          <w:rFonts w:hint="eastAsia"/>
        </w:rPr>
        <w:t>（</w:t>
      </w:r>
      <w:r>
        <w:t>2）编报流程</w:t>
      </w:r>
    </w:p>
    <w:p w14:paraId="0CE4260F">
      <w:pPr>
        <w:ind w:firstLine="640" w:firstLineChars="200"/>
      </w:pPr>
      <w:r>
        <w:rPr>
          <w:rFonts w:hint="eastAsia"/>
        </w:rPr>
        <w:t>部门提出项目申请，归口管理部门审核，分管校领导签批，发展规划处组织专家遴选并按轻重缓急排序，纳入项目库后安排预算。</w:t>
      </w:r>
    </w:p>
    <w:p w14:paraId="3C7D8431">
      <w:pPr>
        <w:ind w:firstLine="640" w:firstLineChars="200"/>
      </w:pPr>
      <w:r>
        <w:rPr>
          <w:rFonts w:hint="eastAsia"/>
        </w:rPr>
        <w:t>（</w:t>
      </w:r>
      <w:r>
        <w:t>3）入库必备条件</w:t>
      </w:r>
    </w:p>
    <w:p w14:paraId="5A9AB43E">
      <w:pPr>
        <w:ind w:firstLine="640" w:firstLineChars="200"/>
      </w:pPr>
      <w:r>
        <w:rPr>
          <w:rFonts w:hint="eastAsia"/>
        </w:rPr>
        <w:t>项目须重点论证以下四个方面，并提供相应材料。</w:t>
      </w:r>
    </w:p>
    <w:tbl>
      <w:tblPr>
        <w:tblStyle w:val="4"/>
        <w:tblW w:w="0" w:type="auto"/>
        <w:jc w:val="center"/>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autofit"/>
        <w:tblCellMar>
          <w:top w:w="0" w:type="dxa"/>
          <w:left w:w="108" w:type="dxa"/>
          <w:bottom w:w="0" w:type="dxa"/>
          <w:right w:w="108" w:type="dxa"/>
        </w:tblCellMar>
      </w:tblPr>
      <w:tblGrid>
        <w:gridCol w:w="1980"/>
        <w:gridCol w:w="2126"/>
        <w:gridCol w:w="2268"/>
      </w:tblGrid>
      <w:tr w14:paraId="465F7699">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CellMar>
            <w:top w:w="0" w:type="dxa"/>
            <w:left w:w="108" w:type="dxa"/>
            <w:bottom w:w="0" w:type="dxa"/>
            <w:right w:w="108" w:type="dxa"/>
          </w:tblCellMar>
        </w:tblPrEx>
        <w:trPr>
          <w:jc w:val="center"/>
        </w:trPr>
        <w:tc>
          <w:tcPr>
            <w:tcW w:w="1980" w:type="dxa"/>
            <w:tcBorders>
              <w:top w:val="single" w:color="A6A6A6" w:sz="4" w:space="0"/>
              <w:left w:val="single" w:color="A6A6A6" w:sz="4" w:space="0"/>
              <w:bottom w:val="single" w:color="A6A6A6" w:sz="4" w:space="0"/>
              <w:right w:val="single" w:color="A6A6A6" w:sz="4" w:space="0"/>
            </w:tcBorders>
          </w:tcPr>
          <w:p w14:paraId="57474E3A">
            <w:pPr>
              <w:spacing w:before="40" w:after="40"/>
              <w:rPr>
                <w:rFonts w:ascii="黑体" w:hAnsi="黑体" w:eastAsia="黑体"/>
                <w:sz w:val="21"/>
                <w:szCs w:val="21"/>
              </w:rPr>
            </w:pPr>
            <w:r>
              <w:rPr>
                <w:rFonts w:hint="eastAsia" w:ascii="黑体" w:hAnsi="黑体" w:eastAsia="黑体"/>
                <w:b/>
                <w:color w:val="000000"/>
                <w:sz w:val="21"/>
                <w:szCs w:val="21"/>
              </w:rPr>
              <w:t>论证维度</w:t>
            </w:r>
          </w:p>
        </w:tc>
        <w:tc>
          <w:tcPr>
            <w:tcW w:w="2126" w:type="dxa"/>
            <w:tcBorders>
              <w:top w:val="single" w:color="A6A6A6" w:sz="4" w:space="0"/>
              <w:left w:val="single" w:color="A6A6A6" w:sz="4" w:space="0"/>
              <w:bottom w:val="single" w:color="A6A6A6" w:sz="4" w:space="0"/>
              <w:right w:val="single" w:color="A6A6A6" w:sz="4" w:space="0"/>
            </w:tcBorders>
          </w:tcPr>
          <w:p w14:paraId="53EFE327">
            <w:pPr>
              <w:spacing w:before="40" w:after="40"/>
              <w:rPr>
                <w:rFonts w:hint="eastAsia" w:ascii="黑体" w:hAnsi="黑体" w:eastAsia="黑体"/>
                <w:sz w:val="21"/>
                <w:szCs w:val="21"/>
              </w:rPr>
            </w:pPr>
            <w:r>
              <w:rPr>
                <w:rFonts w:hint="eastAsia" w:ascii="黑体" w:hAnsi="黑体" w:eastAsia="黑体"/>
                <w:b/>
                <w:color w:val="000000"/>
                <w:sz w:val="21"/>
                <w:szCs w:val="21"/>
              </w:rPr>
              <w:t>核心问题</w:t>
            </w:r>
          </w:p>
        </w:tc>
        <w:tc>
          <w:tcPr>
            <w:tcW w:w="2268" w:type="dxa"/>
            <w:tcBorders>
              <w:top w:val="single" w:color="A6A6A6" w:sz="4" w:space="0"/>
              <w:left w:val="single" w:color="A6A6A6" w:sz="4" w:space="0"/>
              <w:bottom w:val="single" w:color="A6A6A6" w:sz="4" w:space="0"/>
              <w:right w:val="single" w:color="A6A6A6" w:sz="4" w:space="0"/>
            </w:tcBorders>
          </w:tcPr>
          <w:p w14:paraId="3FA59D11">
            <w:pPr>
              <w:spacing w:before="40" w:after="40"/>
              <w:rPr>
                <w:rFonts w:hint="eastAsia" w:ascii="黑体" w:hAnsi="黑体" w:eastAsia="黑体"/>
                <w:sz w:val="21"/>
                <w:szCs w:val="21"/>
              </w:rPr>
            </w:pPr>
            <w:r>
              <w:rPr>
                <w:rFonts w:hint="eastAsia" w:ascii="黑体" w:hAnsi="黑体" w:eastAsia="黑体"/>
                <w:b/>
                <w:color w:val="000000"/>
                <w:sz w:val="21"/>
                <w:szCs w:val="21"/>
              </w:rPr>
              <w:t>需提供材料</w:t>
            </w:r>
          </w:p>
        </w:tc>
      </w:tr>
      <w:tr w14:paraId="0F4A67C7">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CellMar>
            <w:top w:w="0" w:type="dxa"/>
            <w:left w:w="108" w:type="dxa"/>
            <w:bottom w:w="0" w:type="dxa"/>
            <w:right w:w="108" w:type="dxa"/>
          </w:tblCellMar>
        </w:tblPrEx>
        <w:trPr>
          <w:jc w:val="center"/>
        </w:trPr>
        <w:tc>
          <w:tcPr>
            <w:tcW w:w="1980" w:type="dxa"/>
            <w:tcBorders>
              <w:top w:val="single" w:color="A6A6A6" w:sz="4" w:space="0"/>
              <w:left w:val="single" w:color="A6A6A6" w:sz="4" w:space="0"/>
              <w:bottom w:val="single" w:color="A6A6A6" w:sz="4" w:space="0"/>
              <w:right w:val="single" w:color="A6A6A6" w:sz="4" w:space="0"/>
            </w:tcBorders>
          </w:tcPr>
          <w:p w14:paraId="5ACB0D30">
            <w:pPr>
              <w:spacing w:before="40" w:after="40"/>
              <w:rPr>
                <w:rFonts w:hint="eastAsia" w:ascii="仿宋" w:hAnsi="仿宋"/>
                <w:b/>
                <w:bCs/>
                <w:sz w:val="21"/>
                <w:szCs w:val="21"/>
              </w:rPr>
            </w:pPr>
            <w:r>
              <w:rPr>
                <w:rFonts w:hint="eastAsia" w:ascii="仿宋" w:hAnsi="仿宋"/>
                <w:b/>
                <w:bCs/>
                <w:sz w:val="21"/>
                <w:szCs w:val="21"/>
              </w:rPr>
              <w:t>立项必要性</w:t>
            </w:r>
          </w:p>
        </w:tc>
        <w:tc>
          <w:tcPr>
            <w:tcW w:w="2126" w:type="dxa"/>
            <w:tcBorders>
              <w:top w:val="single" w:color="A6A6A6" w:sz="4" w:space="0"/>
              <w:left w:val="single" w:color="A6A6A6" w:sz="4" w:space="0"/>
              <w:bottom w:val="single" w:color="A6A6A6" w:sz="4" w:space="0"/>
              <w:right w:val="single" w:color="A6A6A6" w:sz="4" w:space="0"/>
            </w:tcBorders>
          </w:tcPr>
          <w:p w14:paraId="0B9590C6">
            <w:pPr>
              <w:spacing w:before="40" w:after="40"/>
              <w:rPr>
                <w:rFonts w:hint="eastAsia" w:ascii="仿宋" w:hAnsi="仿宋"/>
                <w:sz w:val="21"/>
                <w:szCs w:val="21"/>
              </w:rPr>
            </w:pPr>
            <w:r>
              <w:rPr>
                <w:rFonts w:hint="eastAsia" w:ascii="仿宋" w:hAnsi="仿宋"/>
                <w:sz w:val="21"/>
                <w:szCs w:val="21"/>
              </w:rPr>
              <w:t>为什么要做？</w:t>
            </w:r>
          </w:p>
        </w:tc>
        <w:tc>
          <w:tcPr>
            <w:tcW w:w="2268" w:type="dxa"/>
            <w:tcBorders>
              <w:top w:val="single" w:color="A6A6A6" w:sz="4" w:space="0"/>
              <w:left w:val="single" w:color="A6A6A6" w:sz="4" w:space="0"/>
              <w:bottom w:val="single" w:color="A6A6A6" w:sz="4" w:space="0"/>
              <w:right w:val="single" w:color="A6A6A6" w:sz="4" w:space="0"/>
            </w:tcBorders>
          </w:tcPr>
          <w:p w14:paraId="46C95665">
            <w:pPr>
              <w:spacing w:before="40" w:after="40"/>
              <w:rPr>
                <w:rFonts w:hint="eastAsia" w:ascii="仿宋" w:hAnsi="仿宋"/>
                <w:sz w:val="21"/>
                <w:szCs w:val="21"/>
              </w:rPr>
            </w:pPr>
            <w:r>
              <w:rPr>
                <w:rFonts w:hint="eastAsia" w:ascii="仿宋" w:hAnsi="仿宋"/>
                <w:sz w:val="21"/>
                <w:szCs w:val="21"/>
              </w:rPr>
              <w:t>项目可行性报告</w:t>
            </w:r>
          </w:p>
        </w:tc>
      </w:tr>
      <w:tr w14:paraId="5C1E064D">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CellMar>
            <w:top w:w="0" w:type="dxa"/>
            <w:left w:w="108" w:type="dxa"/>
            <w:bottom w:w="0" w:type="dxa"/>
            <w:right w:w="108" w:type="dxa"/>
          </w:tblCellMar>
        </w:tblPrEx>
        <w:trPr>
          <w:jc w:val="center"/>
        </w:trPr>
        <w:tc>
          <w:tcPr>
            <w:tcW w:w="1980" w:type="dxa"/>
            <w:tcBorders>
              <w:top w:val="single" w:color="A6A6A6" w:sz="4" w:space="0"/>
              <w:left w:val="single" w:color="A6A6A6" w:sz="4" w:space="0"/>
              <w:bottom w:val="single" w:color="A6A6A6" w:sz="4" w:space="0"/>
              <w:right w:val="single" w:color="A6A6A6" w:sz="4" w:space="0"/>
            </w:tcBorders>
          </w:tcPr>
          <w:p w14:paraId="66ACC3EE">
            <w:pPr>
              <w:spacing w:before="40" w:after="40"/>
              <w:rPr>
                <w:rFonts w:hint="eastAsia" w:ascii="仿宋" w:hAnsi="仿宋"/>
                <w:b/>
                <w:bCs/>
                <w:sz w:val="21"/>
                <w:szCs w:val="21"/>
              </w:rPr>
            </w:pPr>
            <w:r>
              <w:rPr>
                <w:rFonts w:hint="eastAsia" w:ascii="仿宋" w:hAnsi="仿宋"/>
                <w:b/>
                <w:bCs/>
                <w:sz w:val="21"/>
                <w:szCs w:val="21"/>
              </w:rPr>
              <w:t>投入经济性</w:t>
            </w:r>
          </w:p>
        </w:tc>
        <w:tc>
          <w:tcPr>
            <w:tcW w:w="2126" w:type="dxa"/>
            <w:tcBorders>
              <w:top w:val="single" w:color="A6A6A6" w:sz="4" w:space="0"/>
              <w:left w:val="single" w:color="A6A6A6" w:sz="4" w:space="0"/>
              <w:bottom w:val="single" w:color="A6A6A6" w:sz="4" w:space="0"/>
              <w:right w:val="single" w:color="A6A6A6" w:sz="4" w:space="0"/>
            </w:tcBorders>
          </w:tcPr>
          <w:p w14:paraId="37AD4A77">
            <w:pPr>
              <w:spacing w:before="40" w:after="40"/>
              <w:rPr>
                <w:rFonts w:hint="eastAsia" w:ascii="仿宋" w:hAnsi="仿宋"/>
                <w:sz w:val="21"/>
                <w:szCs w:val="21"/>
              </w:rPr>
            </w:pPr>
            <w:r>
              <w:rPr>
                <w:rFonts w:hint="eastAsia" w:ascii="仿宋" w:hAnsi="仿宋"/>
                <w:sz w:val="21"/>
                <w:szCs w:val="21"/>
              </w:rPr>
              <w:t>资金是否合理？</w:t>
            </w:r>
          </w:p>
        </w:tc>
        <w:tc>
          <w:tcPr>
            <w:tcW w:w="2268" w:type="dxa"/>
            <w:tcBorders>
              <w:top w:val="single" w:color="A6A6A6" w:sz="4" w:space="0"/>
              <w:left w:val="single" w:color="A6A6A6" w:sz="4" w:space="0"/>
              <w:bottom w:val="single" w:color="A6A6A6" w:sz="4" w:space="0"/>
              <w:right w:val="single" w:color="A6A6A6" w:sz="4" w:space="0"/>
            </w:tcBorders>
          </w:tcPr>
          <w:p w14:paraId="0C4C70EE">
            <w:pPr>
              <w:spacing w:before="40" w:after="40"/>
              <w:rPr>
                <w:rFonts w:hint="eastAsia" w:ascii="仿宋" w:hAnsi="仿宋"/>
                <w:sz w:val="21"/>
                <w:szCs w:val="21"/>
              </w:rPr>
            </w:pPr>
            <w:r>
              <w:rPr>
                <w:rFonts w:hint="eastAsia" w:ascii="仿宋" w:hAnsi="仿宋"/>
                <w:sz w:val="21"/>
                <w:szCs w:val="21"/>
              </w:rPr>
              <w:t>支出结构预算</w:t>
            </w:r>
          </w:p>
        </w:tc>
      </w:tr>
      <w:tr w14:paraId="3164BED0">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CellMar>
            <w:top w:w="0" w:type="dxa"/>
            <w:left w:w="108" w:type="dxa"/>
            <w:bottom w:w="0" w:type="dxa"/>
            <w:right w:w="108" w:type="dxa"/>
          </w:tblCellMar>
        </w:tblPrEx>
        <w:trPr>
          <w:jc w:val="center"/>
        </w:trPr>
        <w:tc>
          <w:tcPr>
            <w:tcW w:w="1980" w:type="dxa"/>
            <w:tcBorders>
              <w:top w:val="single" w:color="A6A6A6" w:sz="4" w:space="0"/>
              <w:left w:val="single" w:color="A6A6A6" w:sz="4" w:space="0"/>
              <w:bottom w:val="single" w:color="A6A6A6" w:sz="4" w:space="0"/>
              <w:right w:val="single" w:color="A6A6A6" w:sz="4" w:space="0"/>
            </w:tcBorders>
          </w:tcPr>
          <w:p w14:paraId="09401395">
            <w:pPr>
              <w:spacing w:before="40" w:after="40"/>
              <w:rPr>
                <w:rFonts w:hint="eastAsia" w:ascii="仿宋" w:hAnsi="仿宋"/>
                <w:b/>
                <w:bCs/>
                <w:sz w:val="21"/>
                <w:szCs w:val="21"/>
              </w:rPr>
            </w:pPr>
            <w:r>
              <w:rPr>
                <w:rFonts w:hint="eastAsia" w:ascii="仿宋" w:hAnsi="仿宋"/>
                <w:b/>
                <w:bCs/>
                <w:sz w:val="21"/>
                <w:szCs w:val="21"/>
              </w:rPr>
              <w:t>绩效目标合理性</w:t>
            </w:r>
          </w:p>
        </w:tc>
        <w:tc>
          <w:tcPr>
            <w:tcW w:w="2126" w:type="dxa"/>
            <w:tcBorders>
              <w:top w:val="single" w:color="A6A6A6" w:sz="4" w:space="0"/>
              <w:left w:val="single" w:color="A6A6A6" w:sz="4" w:space="0"/>
              <w:bottom w:val="single" w:color="A6A6A6" w:sz="4" w:space="0"/>
              <w:right w:val="single" w:color="A6A6A6" w:sz="4" w:space="0"/>
            </w:tcBorders>
          </w:tcPr>
          <w:p w14:paraId="1F5B1C1B">
            <w:pPr>
              <w:spacing w:before="40" w:after="40"/>
              <w:rPr>
                <w:rFonts w:hint="eastAsia" w:ascii="仿宋" w:hAnsi="仿宋"/>
                <w:sz w:val="21"/>
                <w:szCs w:val="21"/>
              </w:rPr>
            </w:pPr>
            <w:r>
              <w:rPr>
                <w:rFonts w:hint="eastAsia" w:ascii="仿宋" w:hAnsi="仿宋"/>
                <w:sz w:val="21"/>
                <w:szCs w:val="21"/>
              </w:rPr>
              <w:t>效果如何衡量？</w:t>
            </w:r>
          </w:p>
        </w:tc>
        <w:tc>
          <w:tcPr>
            <w:tcW w:w="2268" w:type="dxa"/>
            <w:tcBorders>
              <w:top w:val="single" w:color="A6A6A6" w:sz="4" w:space="0"/>
              <w:left w:val="single" w:color="A6A6A6" w:sz="4" w:space="0"/>
              <w:bottom w:val="single" w:color="A6A6A6" w:sz="4" w:space="0"/>
              <w:right w:val="single" w:color="A6A6A6" w:sz="4" w:space="0"/>
            </w:tcBorders>
          </w:tcPr>
          <w:p w14:paraId="4EF8583B">
            <w:pPr>
              <w:spacing w:before="40" w:after="40"/>
              <w:rPr>
                <w:rFonts w:hint="eastAsia" w:ascii="仿宋" w:hAnsi="仿宋"/>
                <w:sz w:val="21"/>
                <w:szCs w:val="21"/>
              </w:rPr>
            </w:pPr>
            <w:r>
              <w:rPr>
                <w:rFonts w:hint="eastAsia" w:ascii="仿宋" w:hAnsi="仿宋"/>
                <w:sz w:val="21"/>
                <w:szCs w:val="21"/>
              </w:rPr>
              <w:t>项目绩效指标</w:t>
            </w:r>
          </w:p>
        </w:tc>
      </w:tr>
      <w:tr w14:paraId="581F4503">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CellMar>
            <w:top w:w="0" w:type="dxa"/>
            <w:left w:w="108" w:type="dxa"/>
            <w:bottom w:w="0" w:type="dxa"/>
            <w:right w:w="108" w:type="dxa"/>
          </w:tblCellMar>
        </w:tblPrEx>
        <w:trPr>
          <w:jc w:val="center"/>
        </w:trPr>
        <w:tc>
          <w:tcPr>
            <w:tcW w:w="1980" w:type="dxa"/>
            <w:tcBorders>
              <w:top w:val="single" w:color="A6A6A6" w:sz="4" w:space="0"/>
              <w:left w:val="single" w:color="A6A6A6" w:sz="4" w:space="0"/>
              <w:bottom w:val="single" w:color="A6A6A6" w:sz="4" w:space="0"/>
              <w:right w:val="single" w:color="A6A6A6" w:sz="4" w:space="0"/>
            </w:tcBorders>
          </w:tcPr>
          <w:p w14:paraId="29AF7AA1">
            <w:pPr>
              <w:spacing w:before="40" w:after="40"/>
              <w:rPr>
                <w:rFonts w:hint="eastAsia" w:ascii="仿宋" w:hAnsi="仿宋"/>
                <w:b/>
                <w:bCs/>
                <w:sz w:val="21"/>
                <w:szCs w:val="21"/>
              </w:rPr>
            </w:pPr>
            <w:r>
              <w:rPr>
                <w:rFonts w:hint="eastAsia" w:ascii="仿宋" w:hAnsi="仿宋"/>
                <w:b/>
                <w:bCs/>
                <w:sz w:val="21"/>
                <w:szCs w:val="21"/>
              </w:rPr>
              <w:t>实施方案可行性</w:t>
            </w:r>
          </w:p>
        </w:tc>
        <w:tc>
          <w:tcPr>
            <w:tcW w:w="2126" w:type="dxa"/>
            <w:tcBorders>
              <w:top w:val="single" w:color="A6A6A6" w:sz="4" w:space="0"/>
              <w:left w:val="single" w:color="A6A6A6" w:sz="4" w:space="0"/>
              <w:bottom w:val="single" w:color="A6A6A6" w:sz="4" w:space="0"/>
              <w:right w:val="single" w:color="A6A6A6" w:sz="4" w:space="0"/>
            </w:tcBorders>
          </w:tcPr>
          <w:p w14:paraId="08B8A91B">
            <w:pPr>
              <w:spacing w:before="40" w:after="40"/>
              <w:rPr>
                <w:rFonts w:hint="eastAsia" w:ascii="仿宋" w:hAnsi="仿宋"/>
                <w:sz w:val="21"/>
                <w:szCs w:val="21"/>
              </w:rPr>
            </w:pPr>
            <w:r>
              <w:rPr>
                <w:rFonts w:hint="eastAsia" w:ascii="仿宋" w:hAnsi="仿宋"/>
                <w:sz w:val="21"/>
                <w:szCs w:val="21"/>
              </w:rPr>
              <w:t>能否落地？</w:t>
            </w:r>
          </w:p>
        </w:tc>
        <w:tc>
          <w:tcPr>
            <w:tcW w:w="2268" w:type="dxa"/>
            <w:tcBorders>
              <w:top w:val="single" w:color="A6A6A6" w:sz="4" w:space="0"/>
              <w:left w:val="single" w:color="A6A6A6" w:sz="4" w:space="0"/>
              <w:bottom w:val="single" w:color="A6A6A6" w:sz="4" w:space="0"/>
              <w:right w:val="single" w:color="A6A6A6" w:sz="4" w:space="0"/>
            </w:tcBorders>
          </w:tcPr>
          <w:p w14:paraId="427E4FB8">
            <w:pPr>
              <w:spacing w:before="40" w:after="40"/>
              <w:rPr>
                <w:rFonts w:hint="eastAsia" w:ascii="仿宋" w:hAnsi="仿宋"/>
                <w:sz w:val="21"/>
                <w:szCs w:val="21"/>
              </w:rPr>
            </w:pPr>
            <w:r>
              <w:rPr>
                <w:rFonts w:hint="eastAsia" w:ascii="仿宋" w:hAnsi="仿宋"/>
                <w:sz w:val="21"/>
                <w:szCs w:val="21"/>
              </w:rPr>
              <w:t>实施条件说明</w:t>
            </w:r>
          </w:p>
        </w:tc>
      </w:tr>
    </w:tbl>
    <w:p w14:paraId="7DFEE4BB">
      <w:pPr>
        <w:ind w:firstLine="640" w:firstLineChars="200"/>
      </w:pPr>
      <w:r>
        <w:rPr>
          <w:rFonts w:hint="eastAsia"/>
        </w:rPr>
        <w:t>重要提示：项目申报前须充分考虑规划、设计、场地、房屋等前提条件，不允许“先申报、后落实”。未认真论证或资料不全的项目，不予入库。</w:t>
      </w:r>
    </w:p>
    <w:p w14:paraId="750040B6">
      <w:pPr>
        <w:ind w:firstLine="640" w:firstLineChars="200"/>
        <w:rPr>
          <w:rFonts w:ascii="黑体" w:hAnsi="黑体" w:eastAsia="黑体"/>
        </w:rPr>
      </w:pPr>
      <w:r>
        <w:rPr>
          <w:rFonts w:hint="eastAsia" w:ascii="黑体" w:hAnsi="黑体" w:eastAsia="黑体"/>
        </w:rPr>
        <w:t>三、编报要求</w:t>
      </w:r>
    </w:p>
    <w:p w14:paraId="362F668C">
      <w:pPr>
        <w:ind w:firstLine="640" w:firstLineChars="200"/>
        <w:rPr>
          <w:rFonts w:ascii="楷体" w:hAnsi="楷体" w:eastAsia="楷体"/>
        </w:rPr>
      </w:pPr>
      <w:r>
        <w:rPr>
          <w:rFonts w:hint="eastAsia" w:ascii="楷体" w:hAnsi="楷体" w:eastAsia="楷体"/>
        </w:rPr>
        <w:t>（一）高度重视，科学论证</w:t>
      </w:r>
    </w:p>
    <w:p w14:paraId="3DFAD5B9">
      <w:pPr>
        <w:ind w:firstLine="640" w:firstLineChars="200"/>
      </w:pPr>
      <w:r>
        <w:rPr>
          <w:rFonts w:hint="eastAsia"/>
        </w:rPr>
        <w:t>各部门负责人应亲自组织项目论证，预算编制须与学校发展规划、专业建设、实验室建设、人才团队建设等紧密结合，突出绩效引领，确保年度内能够按计划实施。</w:t>
      </w:r>
    </w:p>
    <w:p w14:paraId="43CEE65C">
      <w:pPr>
        <w:ind w:firstLine="640" w:firstLineChars="200"/>
        <w:rPr>
          <w:rFonts w:ascii="楷体" w:hAnsi="楷体" w:eastAsia="楷体"/>
        </w:rPr>
      </w:pPr>
      <w:r>
        <w:rPr>
          <w:rFonts w:hint="eastAsia" w:ascii="楷体" w:hAnsi="楷体" w:eastAsia="楷体"/>
        </w:rPr>
        <w:t>（二）明确责任，突出绩效</w:t>
      </w:r>
    </w:p>
    <w:p w14:paraId="4531C849">
      <w:pPr>
        <w:ind w:firstLine="640" w:firstLineChars="200"/>
      </w:pPr>
      <w:r>
        <w:rPr>
          <w:rFonts w:hint="eastAsia"/>
        </w:rPr>
        <w:t>专项项目实行归口管理，相关职能部门负责组织业务范围内的预算编制并监督执行。</w:t>
      </w:r>
      <w:r>
        <w:rPr>
          <w:rFonts w:hint="eastAsia"/>
          <w:b/>
        </w:rPr>
        <w:t>专项项目未经发展规划处立项入库，不列入</w:t>
      </w:r>
      <w:r>
        <w:rPr>
          <w:b/>
        </w:rPr>
        <w:t>2027年部门预算</w:t>
      </w:r>
      <w:r>
        <w:t>。属于政府采购目录范围的采购项目，须逐项编制政府采购预算，由归口管理部门审核。项目建设单位是项目申报、实施和绩效考核的直接责任单位。</w:t>
      </w:r>
    </w:p>
    <w:p w14:paraId="2CC17D0E">
      <w:pPr>
        <w:ind w:firstLine="640" w:firstLineChars="200"/>
        <w:rPr>
          <w:rFonts w:ascii="楷体" w:hAnsi="楷体" w:eastAsia="楷体"/>
        </w:rPr>
      </w:pPr>
      <w:r>
        <w:rPr>
          <w:rFonts w:hint="eastAsia" w:ascii="楷体" w:hAnsi="楷体" w:eastAsia="楷体"/>
        </w:rPr>
        <w:t>（三）滚动规划，做好衔接</w:t>
      </w:r>
    </w:p>
    <w:p w14:paraId="18B31E14">
      <w:pPr>
        <w:ind w:firstLine="640" w:firstLineChars="200"/>
      </w:pPr>
      <w:r>
        <w:rPr>
          <w:rFonts w:hint="eastAsia"/>
        </w:rPr>
        <w:t>做好项目之间、项目年度之间的滚动衔接，以及校内预算与</w:t>
      </w:r>
      <w:r>
        <w:t>2027年省级财政预算的衔接，确保预算执行顺畅。</w:t>
      </w:r>
    </w:p>
    <w:p w14:paraId="13874D02">
      <w:pPr>
        <w:ind w:firstLine="640" w:firstLineChars="200"/>
        <w:rPr>
          <w:rFonts w:ascii="楷体" w:hAnsi="楷体" w:eastAsia="楷体"/>
        </w:rPr>
      </w:pPr>
      <w:r>
        <w:rPr>
          <w:rFonts w:hint="eastAsia" w:ascii="楷体" w:hAnsi="楷体" w:eastAsia="楷体"/>
        </w:rPr>
        <w:t>（四）按需申报，加强约束</w:t>
      </w:r>
    </w:p>
    <w:p w14:paraId="12A0E898">
      <w:pPr>
        <w:ind w:firstLine="640" w:firstLineChars="200"/>
      </w:pPr>
      <w:r>
        <w:rPr>
          <w:rFonts w:hint="eastAsia"/>
        </w:rPr>
        <w:t>遵循“执行多少，申请多少”的原则，合理预计实际用款额度。年末如有结余，由学校统一收回，不予结转。相关职能部门须对项目申报和执行情况承担监管责任。</w:t>
      </w:r>
    </w:p>
    <w:p w14:paraId="0A6FE77C">
      <w:pPr>
        <w:ind w:firstLine="640" w:firstLineChars="200"/>
        <w:rPr>
          <w:rFonts w:ascii="黑体" w:hAnsi="黑体" w:eastAsia="黑体"/>
        </w:rPr>
      </w:pPr>
      <w:r>
        <w:rPr>
          <w:rFonts w:hint="eastAsia" w:ascii="黑体" w:hAnsi="黑体" w:eastAsia="黑体"/>
        </w:rPr>
        <w:t>四、注意事项</w:t>
      </w:r>
    </w:p>
    <w:p w14:paraId="34504D8D">
      <w:pPr>
        <w:ind w:firstLine="640" w:firstLineChars="200"/>
      </w:pPr>
      <w:r>
        <w:t>1.</w:t>
      </w:r>
      <w:r>
        <w:rPr>
          <w:b/>
        </w:rPr>
        <w:t>落实第一责任人</w:t>
      </w:r>
      <w:r>
        <w:t>。各部门负责人要强化预算第一责任人意识，指定专人负责，确保预算编报及时、内容完整。</w:t>
      </w:r>
    </w:p>
    <w:p w14:paraId="592E65BD">
      <w:pPr>
        <w:ind w:firstLine="640" w:firstLineChars="200"/>
      </w:pPr>
      <w:r>
        <w:t>2.</w:t>
      </w:r>
      <w:r>
        <w:rPr>
          <w:b/>
        </w:rPr>
        <w:t>科学设立绩效目标</w:t>
      </w:r>
      <w:r>
        <w:t>。绩效目标须清晰、可量化。绩效评价结果将与下一年度项目预算安排挂钩，评价不合格的项目将核减或不安排预算。</w:t>
      </w:r>
    </w:p>
    <w:p w14:paraId="10ADB2AD">
      <w:pPr>
        <w:ind w:firstLine="640" w:firstLineChars="200"/>
      </w:pPr>
      <w:r>
        <w:t>3.</w:t>
      </w:r>
      <w:r>
        <w:rPr>
          <w:b/>
        </w:rPr>
        <w:t>预算执行进度挂钩</w:t>
      </w:r>
      <w:r>
        <w:t>。财政部门对执行进度不达标的项目，将按规定核减下一年度指标。当年安排的专项资金，当年必须实现支付。因计划不周、实施不力导致资金被收回的，学校将追究部门负责人责任，并核减下一年度预算经费。</w:t>
      </w:r>
    </w:p>
    <w:p w14:paraId="00954AFA">
      <w:pPr>
        <w:ind w:firstLine="640" w:firstLineChars="200"/>
      </w:pPr>
      <w:r>
        <w:t>4.</w:t>
      </w:r>
      <w:r>
        <w:rPr>
          <w:b/>
        </w:rPr>
        <w:t>预算一经</w:t>
      </w:r>
      <w:r>
        <w:rPr>
          <w:rFonts w:hint="eastAsia"/>
          <w:b/>
        </w:rPr>
        <w:t>下达</w:t>
      </w:r>
      <w:r>
        <w:rPr>
          <w:b/>
        </w:rPr>
        <w:t>不得变动</w:t>
      </w:r>
      <w:r>
        <w:t>。请各部门慎重、全面、合理编制，做到应报尽报。</w:t>
      </w:r>
    </w:p>
    <w:p w14:paraId="3DC98378">
      <w:pPr>
        <w:ind w:firstLine="640" w:firstLineChars="200"/>
      </w:pPr>
      <w:r>
        <w:t>5.</w:t>
      </w:r>
      <w:r>
        <w:rPr>
          <w:b/>
        </w:rPr>
        <w:t>网上申报</w:t>
      </w:r>
      <w:r>
        <w:t>。通过校园网进入财务处网站“预算系统” 进行编制和上报。</w:t>
      </w:r>
    </w:p>
    <w:p w14:paraId="48631BEE">
      <w:pPr>
        <w:ind w:firstLine="640" w:firstLineChars="200"/>
        <w:rPr>
          <w:rFonts w:ascii="黑体" w:hAnsi="黑体" w:eastAsia="黑体"/>
        </w:rPr>
      </w:pPr>
      <w:r>
        <w:rPr>
          <w:rFonts w:hint="eastAsia" w:ascii="黑体" w:hAnsi="黑体" w:eastAsia="黑体"/>
        </w:rPr>
        <w:t>五、资料报送要求</w:t>
      </w:r>
    </w:p>
    <w:tbl>
      <w:tblPr>
        <w:tblStyle w:val="4"/>
        <w:tblW w:w="0" w:type="auto"/>
        <w:jc w:val="center"/>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autofit"/>
        <w:tblCellMar>
          <w:top w:w="0" w:type="dxa"/>
          <w:left w:w="108" w:type="dxa"/>
          <w:bottom w:w="0" w:type="dxa"/>
          <w:right w:w="108" w:type="dxa"/>
        </w:tblCellMar>
      </w:tblPr>
      <w:tblGrid>
        <w:gridCol w:w="1980"/>
        <w:gridCol w:w="6316"/>
      </w:tblGrid>
      <w:tr w14:paraId="42ABC0BC">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CellMar>
            <w:top w:w="0" w:type="dxa"/>
            <w:left w:w="108" w:type="dxa"/>
            <w:bottom w:w="0" w:type="dxa"/>
            <w:right w:w="108" w:type="dxa"/>
          </w:tblCellMar>
        </w:tblPrEx>
        <w:trPr>
          <w:jc w:val="center"/>
        </w:trPr>
        <w:tc>
          <w:tcPr>
            <w:tcW w:w="1980" w:type="dxa"/>
            <w:tcBorders>
              <w:top w:val="single" w:color="A6A6A6" w:sz="4" w:space="0"/>
              <w:left w:val="single" w:color="A6A6A6" w:sz="4" w:space="0"/>
              <w:bottom w:val="single" w:color="A6A6A6" w:sz="4" w:space="0"/>
              <w:right w:val="single" w:color="A6A6A6" w:sz="4" w:space="0"/>
            </w:tcBorders>
          </w:tcPr>
          <w:p w14:paraId="5F47E3A9">
            <w:pPr>
              <w:spacing w:before="40" w:after="40"/>
              <w:rPr>
                <w:rFonts w:ascii="仿宋" w:hAnsi="仿宋"/>
                <w:sz w:val="24"/>
                <w:szCs w:val="24"/>
              </w:rPr>
            </w:pPr>
            <w:r>
              <w:rPr>
                <w:rFonts w:hint="eastAsia" w:ascii="仿宋" w:hAnsi="仿宋"/>
                <w:b/>
                <w:color w:val="000000"/>
                <w:sz w:val="24"/>
                <w:szCs w:val="24"/>
              </w:rPr>
              <w:t>项目</w:t>
            </w:r>
          </w:p>
        </w:tc>
        <w:tc>
          <w:tcPr>
            <w:tcW w:w="6316" w:type="dxa"/>
            <w:tcBorders>
              <w:top w:val="single" w:color="A6A6A6" w:sz="4" w:space="0"/>
              <w:left w:val="single" w:color="A6A6A6" w:sz="4" w:space="0"/>
              <w:bottom w:val="single" w:color="A6A6A6" w:sz="4" w:space="0"/>
              <w:right w:val="single" w:color="A6A6A6" w:sz="4" w:space="0"/>
            </w:tcBorders>
          </w:tcPr>
          <w:p w14:paraId="25F8CAC6">
            <w:pPr>
              <w:spacing w:before="40" w:after="40"/>
              <w:rPr>
                <w:rFonts w:hint="eastAsia" w:ascii="仿宋" w:hAnsi="仿宋"/>
                <w:sz w:val="24"/>
                <w:szCs w:val="24"/>
              </w:rPr>
            </w:pPr>
            <w:r>
              <w:rPr>
                <w:rFonts w:hint="eastAsia" w:ascii="仿宋" w:hAnsi="仿宋"/>
                <w:b/>
                <w:color w:val="000000"/>
                <w:sz w:val="24"/>
                <w:szCs w:val="24"/>
              </w:rPr>
              <w:t>要求</w:t>
            </w:r>
          </w:p>
        </w:tc>
      </w:tr>
      <w:tr w14:paraId="7D3935AC">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CellMar>
            <w:top w:w="0" w:type="dxa"/>
            <w:left w:w="108" w:type="dxa"/>
            <w:bottom w:w="0" w:type="dxa"/>
            <w:right w:w="108" w:type="dxa"/>
          </w:tblCellMar>
        </w:tblPrEx>
        <w:trPr>
          <w:jc w:val="center"/>
        </w:trPr>
        <w:tc>
          <w:tcPr>
            <w:tcW w:w="1980" w:type="dxa"/>
            <w:tcBorders>
              <w:top w:val="single" w:color="A6A6A6" w:sz="4" w:space="0"/>
              <w:left w:val="single" w:color="A6A6A6" w:sz="4" w:space="0"/>
              <w:bottom w:val="single" w:color="A6A6A6" w:sz="4" w:space="0"/>
              <w:right w:val="single" w:color="A6A6A6" w:sz="4" w:space="0"/>
            </w:tcBorders>
          </w:tcPr>
          <w:p w14:paraId="0B98B13B">
            <w:pPr>
              <w:spacing w:before="40" w:after="40"/>
              <w:rPr>
                <w:rFonts w:hint="eastAsia" w:ascii="仿宋" w:hAnsi="仿宋"/>
                <w:sz w:val="24"/>
                <w:szCs w:val="24"/>
              </w:rPr>
            </w:pPr>
            <w:r>
              <w:rPr>
                <w:rFonts w:hint="eastAsia" w:ascii="仿宋" w:hAnsi="仿宋"/>
                <w:sz w:val="24"/>
                <w:szCs w:val="24"/>
              </w:rPr>
              <w:t>截止时间</w:t>
            </w:r>
          </w:p>
        </w:tc>
        <w:tc>
          <w:tcPr>
            <w:tcW w:w="6316" w:type="dxa"/>
            <w:tcBorders>
              <w:top w:val="single" w:color="A6A6A6" w:sz="4" w:space="0"/>
              <w:left w:val="single" w:color="A6A6A6" w:sz="4" w:space="0"/>
              <w:bottom w:val="single" w:color="A6A6A6" w:sz="4" w:space="0"/>
              <w:right w:val="single" w:color="A6A6A6" w:sz="4" w:space="0"/>
            </w:tcBorders>
          </w:tcPr>
          <w:p w14:paraId="51657E03">
            <w:pPr>
              <w:spacing w:before="40" w:after="40"/>
              <w:rPr>
                <w:rFonts w:hint="eastAsia" w:ascii="仿宋" w:hAnsi="仿宋"/>
                <w:sz w:val="24"/>
                <w:szCs w:val="24"/>
              </w:rPr>
            </w:pPr>
            <w:r>
              <w:rPr>
                <w:rFonts w:hint="eastAsia" w:ascii="仿宋" w:hAnsi="仿宋"/>
                <w:b/>
                <w:sz w:val="24"/>
                <w:szCs w:val="24"/>
              </w:rPr>
              <w:t>2026年9月11日</w:t>
            </w:r>
            <w:r>
              <w:rPr>
                <w:rFonts w:hint="eastAsia" w:ascii="仿宋" w:hAnsi="仿宋"/>
                <w:sz w:val="24"/>
                <w:szCs w:val="24"/>
              </w:rPr>
              <w:t>（逾期不再受理）</w:t>
            </w:r>
          </w:p>
        </w:tc>
      </w:tr>
      <w:tr w14:paraId="375FFB48">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CellMar>
            <w:top w:w="0" w:type="dxa"/>
            <w:left w:w="108" w:type="dxa"/>
            <w:bottom w:w="0" w:type="dxa"/>
            <w:right w:w="108" w:type="dxa"/>
          </w:tblCellMar>
        </w:tblPrEx>
        <w:trPr>
          <w:jc w:val="center"/>
        </w:trPr>
        <w:tc>
          <w:tcPr>
            <w:tcW w:w="1980" w:type="dxa"/>
            <w:tcBorders>
              <w:top w:val="single" w:color="A6A6A6" w:sz="4" w:space="0"/>
              <w:left w:val="single" w:color="A6A6A6" w:sz="4" w:space="0"/>
              <w:bottom w:val="single" w:color="A6A6A6" w:sz="4" w:space="0"/>
              <w:right w:val="single" w:color="A6A6A6" w:sz="4" w:space="0"/>
            </w:tcBorders>
          </w:tcPr>
          <w:p w14:paraId="43010A11">
            <w:pPr>
              <w:spacing w:before="40" w:after="40"/>
              <w:rPr>
                <w:rFonts w:hint="eastAsia" w:ascii="仿宋" w:hAnsi="仿宋"/>
                <w:sz w:val="24"/>
                <w:szCs w:val="24"/>
              </w:rPr>
            </w:pPr>
            <w:r>
              <w:rPr>
                <w:rFonts w:hint="eastAsia" w:ascii="仿宋" w:hAnsi="仿宋"/>
                <w:sz w:val="24"/>
                <w:szCs w:val="24"/>
              </w:rPr>
              <w:t>申报方式</w:t>
            </w:r>
          </w:p>
        </w:tc>
        <w:tc>
          <w:tcPr>
            <w:tcW w:w="6316" w:type="dxa"/>
            <w:tcBorders>
              <w:top w:val="single" w:color="A6A6A6" w:sz="4" w:space="0"/>
              <w:left w:val="single" w:color="A6A6A6" w:sz="4" w:space="0"/>
              <w:bottom w:val="single" w:color="A6A6A6" w:sz="4" w:space="0"/>
              <w:right w:val="single" w:color="A6A6A6" w:sz="4" w:space="0"/>
            </w:tcBorders>
          </w:tcPr>
          <w:p w14:paraId="15041252">
            <w:pPr>
              <w:spacing w:before="40" w:after="40"/>
              <w:rPr>
                <w:rFonts w:hint="eastAsia" w:ascii="仿宋" w:hAnsi="仿宋"/>
                <w:sz w:val="24"/>
                <w:szCs w:val="24"/>
              </w:rPr>
            </w:pPr>
            <w:r>
              <w:rPr>
                <w:rFonts w:hint="eastAsia" w:ascii="仿宋" w:hAnsi="仿宋"/>
                <w:sz w:val="24"/>
                <w:szCs w:val="24"/>
              </w:rPr>
              <w:t>所有经费预算均须在“预算系统”中上报</w:t>
            </w:r>
          </w:p>
        </w:tc>
      </w:tr>
      <w:tr w14:paraId="584C65FE">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CellMar>
            <w:top w:w="0" w:type="dxa"/>
            <w:left w:w="108" w:type="dxa"/>
            <w:bottom w:w="0" w:type="dxa"/>
            <w:right w:w="108" w:type="dxa"/>
          </w:tblCellMar>
        </w:tblPrEx>
        <w:trPr>
          <w:jc w:val="center"/>
        </w:trPr>
        <w:tc>
          <w:tcPr>
            <w:tcW w:w="1980" w:type="dxa"/>
            <w:tcBorders>
              <w:top w:val="single" w:color="A6A6A6" w:sz="4" w:space="0"/>
              <w:left w:val="single" w:color="A6A6A6" w:sz="4" w:space="0"/>
              <w:bottom w:val="single" w:color="A6A6A6" w:sz="4" w:space="0"/>
              <w:right w:val="single" w:color="A6A6A6" w:sz="4" w:space="0"/>
            </w:tcBorders>
          </w:tcPr>
          <w:p w14:paraId="71CB07AA">
            <w:pPr>
              <w:spacing w:before="40" w:after="40"/>
              <w:rPr>
                <w:rFonts w:hint="eastAsia" w:ascii="仿宋" w:hAnsi="仿宋"/>
                <w:sz w:val="24"/>
                <w:szCs w:val="24"/>
              </w:rPr>
            </w:pPr>
            <w:r>
              <w:rPr>
                <w:rFonts w:hint="eastAsia" w:ascii="仿宋" w:hAnsi="仿宋"/>
                <w:sz w:val="24"/>
                <w:szCs w:val="24"/>
              </w:rPr>
              <w:t>专项项目</w:t>
            </w:r>
          </w:p>
        </w:tc>
        <w:tc>
          <w:tcPr>
            <w:tcW w:w="6316" w:type="dxa"/>
            <w:tcBorders>
              <w:top w:val="single" w:color="A6A6A6" w:sz="4" w:space="0"/>
              <w:left w:val="single" w:color="A6A6A6" w:sz="4" w:space="0"/>
              <w:bottom w:val="single" w:color="A6A6A6" w:sz="4" w:space="0"/>
              <w:right w:val="single" w:color="A6A6A6" w:sz="4" w:space="0"/>
            </w:tcBorders>
          </w:tcPr>
          <w:p w14:paraId="6ECD93AD">
            <w:pPr>
              <w:spacing w:before="40" w:after="40"/>
              <w:rPr>
                <w:rFonts w:hint="eastAsia" w:ascii="仿宋" w:hAnsi="仿宋"/>
                <w:sz w:val="24"/>
                <w:szCs w:val="24"/>
              </w:rPr>
            </w:pPr>
            <w:r>
              <w:rPr>
                <w:rFonts w:hint="eastAsia" w:ascii="仿宋" w:hAnsi="仿宋"/>
                <w:sz w:val="24"/>
                <w:szCs w:val="24"/>
              </w:rPr>
              <w:t>除网上申报外，还须提交纸质申报材料，经部门负责人、归口管理部门负责人和主管校领导签字后，交至发展规划处</w:t>
            </w:r>
          </w:p>
        </w:tc>
      </w:tr>
    </w:tbl>
    <w:p w14:paraId="7BF75A9E">
      <w:pPr>
        <w:ind w:firstLine="640" w:firstLineChars="200"/>
      </w:pPr>
      <w:r>
        <w:rPr>
          <w:rFonts w:hint="eastAsia"/>
        </w:rPr>
        <w:t>联系方式：</w:t>
      </w:r>
    </w:p>
    <w:p w14:paraId="530CBF25">
      <w:pPr>
        <w:ind w:firstLine="640" w:firstLineChars="200"/>
      </w:pPr>
      <w:r>
        <w:rPr>
          <w:rFonts w:hint="eastAsia"/>
        </w:rPr>
        <w:t>财务处</w:t>
      </w:r>
      <w:r>
        <w:rPr>
          <w:rFonts w:hint="eastAsia"/>
          <w:lang w:val="en-US" w:eastAsia="zh-CN"/>
        </w:rPr>
        <w:t xml:space="preserve"> </w:t>
      </w:r>
      <w:r>
        <w:tab/>
      </w:r>
      <w:r>
        <w:rPr>
          <w:rFonts w:hint="eastAsia"/>
          <w:lang w:val="en-US" w:eastAsia="zh-CN"/>
        </w:rPr>
        <w:t>钱桂洋</w:t>
      </w:r>
      <w:r>
        <w:tab/>
      </w:r>
      <w:r>
        <w:t>8626</w:t>
      </w:r>
      <w:r>
        <w:rPr>
          <w:rFonts w:hint="eastAsia"/>
          <w:lang w:val="en-US" w:eastAsia="zh-CN"/>
        </w:rPr>
        <w:t>5521</w:t>
      </w:r>
      <w:r>
        <w:tab/>
      </w:r>
      <w:r>
        <w:t>行政楼5</w:t>
      </w:r>
      <w:r>
        <w:rPr>
          <w:rFonts w:hint="eastAsia"/>
          <w:lang w:val="en-US" w:eastAsia="zh-CN"/>
        </w:rPr>
        <w:t>14</w:t>
      </w:r>
      <w:bookmarkStart w:id="0" w:name="_GoBack"/>
      <w:bookmarkEnd w:id="0"/>
      <w:r>
        <w:t>房间</w:t>
      </w:r>
    </w:p>
    <w:p w14:paraId="00E10615">
      <w:pPr>
        <w:ind w:firstLine="640" w:firstLineChars="200"/>
        <w:rPr>
          <w:rFonts w:hint="default" w:eastAsia="仿宋"/>
          <w:lang w:val="en-US" w:eastAsia="zh-CN"/>
        </w:rPr>
      </w:pPr>
      <w:r>
        <w:rPr>
          <w:rFonts w:hint="eastAsia"/>
          <w:lang w:val="en-US" w:eastAsia="zh-CN"/>
        </w:rPr>
        <w:t xml:space="preserve">                 86265726  行政楼</w:t>
      </w:r>
      <w:r>
        <w:t>511房间</w:t>
      </w:r>
    </w:p>
    <w:p w14:paraId="2EA00A7D">
      <w:pPr>
        <w:ind w:firstLine="640" w:firstLineChars="200"/>
      </w:pPr>
      <w:r>
        <w:rPr>
          <w:rFonts w:hint="eastAsia"/>
        </w:rPr>
        <w:t>发展规划处</w:t>
      </w:r>
      <w:r>
        <w:tab/>
      </w:r>
      <w:r>
        <w:t>刘雪</w:t>
      </w:r>
      <w:r>
        <w:tab/>
      </w:r>
      <w:r>
        <w:t>86265675</w:t>
      </w:r>
      <w:r>
        <w:tab/>
      </w:r>
      <w:r>
        <w:t>行政楼906房间</w:t>
      </w:r>
    </w:p>
    <w:p w14:paraId="5888A994">
      <w:r>
        <w:t xml:space="preserve">    </w:t>
      </w:r>
    </w:p>
    <w:p w14:paraId="705D937E">
      <w:r>
        <w:t xml:space="preserve">                                财务处、发展规划处</w:t>
      </w:r>
    </w:p>
    <w:p w14:paraId="4A72C827">
      <w:r>
        <w:t xml:space="preserve">                                2026年6月2</w:t>
      </w:r>
      <w:r>
        <w:rPr>
          <w:rFonts w:hint="eastAsia"/>
          <w:lang w:val="en-US" w:eastAsia="zh-CN"/>
        </w:rPr>
        <w:t>6</w:t>
      </w:r>
      <w: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099780-82C0-42DA-8432-C2559167B6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C144EACF-4C25-4F12-A89D-47D75C156F0C}"/>
  </w:font>
  <w:font w:name="仿宋">
    <w:panose1 w:val="02010609060101010101"/>
    <w:charset w:val="86"/>
    <w:family w:val="modern"/>
    <w:pitch w:val="default"/>
    <w:sig w:usb0="800002BF" w:usb1="38CF7CFA" w:usb2="00000016" w:usb3="00000000" w:csb0="00040001" w:csb1="00000000"/>
    <w:embedRegular r:id="rId3" w:fontKey="{5F17D60C-82FE-43EE-8815-2D288DD13647}"/>
  </w:font>
  <w:font w:name="方正小标宋简体">
    <w:panose1 w:val="02000000000000000000"/>
    <w:charset w:val="86"/>
    <w:family w:val="script"/>
    <w:pitch w:val="default"/>
    <w:sig w:usb0="00000001" w:usb1="08000000" w:usb2="00000000" w:usb3="00000000" w:csb0="00040000" w:csb1="00000000"/>
    <w:embedRegular r:id="rId4" w:fontKey="{0913A6D2-DEF6-462D-B240-8E7C33CA3080}"/>
  </w:font>
  <w:font w:name="楷体">
    <w:panose1 w:val="02010609060101010101"/>
    <w:charset w:val="86"/>
    <w:family w:val="modern"/>
    <w:pitch w:val="default"/>
    <w:sig w:usb0="800002BF" w:usb1="38CF7CFA" w:usb2="00000016" w:usb3="00000000" w:csb0="00040001" w:csb1="00000000"/>
    <w:embedRegular r:id="rId5" w:fontKey="{E9A01BA7-9F74-434D-8352-DA75DEFCEB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765617"/>
      <w:docPartObj>
        <w:docPartGallery w:val="autotext"/>
      </w:docPartObj>
    </w:sdtPr>
    <w:sdtContent>
      <w:p w14:paraId="13C51D07">
        <w:pPr>
          <w:pStyle w:val="2"/>
          <w:jc w:val="center"/>
        </w:pPr>
        <w:r>
          <w:fldChar w:fldCharType="begin"/>
        </w:r>
        <w:r>
          <w:instrText xml:space="preserve">PAGE   \* MERGEFORMAT</w:instrText>
        </w:r>
        <w:r>
          <w:fldChar w:fldCharType="separate"/>
        </w:r>
        <w:r>
          <w:rPr>
            <w:lang w:val="zh-CN"/>
          </w:rPr>
          <w:t>-</w:t>
        </w:r>
        <w:r>
          <w:t xml:space="preserve"> 6 -</w:t>
        </w:r>
        <w:r>
          <w:fldChar w:fldCharType="end"/>
        </w:r>
      </w:p>
    </w:sdtContent>
  </w:sdt>
  <w:p w14:paraId="2236FBF2">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75F"/>
    <w:rsid w:val="000B275F"/>
    <w:rsid w:val="00434104"/>
    <w:rsid w:val="00614684"/>
    <w:rsid w:val="00CD1A15"/>
    <w:rsid w:val="00F60151"/>
    <w:rsid w:val="02D85978"/>
    <w:rsid w:val="06EF43F3"/>
    <w:rsid w:val="206442E3"/>
    <w:rsid w:val="290B34CE"/>
    <w:rsid w:val="6EDF1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仿宋"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2510</Words>
  <Characters>2576</Characters>
  <Lines>18</Lines>
  <Paragraphs>5</Paragraphs>
  <TotalTime>1</TotalTime>
  <ScaleCrop>false</ScaleCrop>
  <LinksUpToDate>false</LinksUpToDate>
  <CharactersWithSpaces>2657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2026-06-25T08:42:00Z</dcterms:created>
  <dc:creator>Administrator</dc:creator>
  <cp:lastModifiedBy>墨岚</cp:lastModifiedBy>
  <dcterms:modified xsi:type="dcterms:W3CDTF">2026-06-26T03:01:03Z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eyJoZGlkIjoiZTBiNGNmY2U2YmY2YjIzNDgwZTFhZDJkNDU2YTNkMjkiLCJ1c2VySWQiOiI0NTM4OTU2OTIifQ==</vt:lpwstr>
  </property>
  <property fmtid="{D5CDD505-2E9C-101B-9397-08002B2CF9AE}" pid="3" name="KSOProductBuildVer">
    <vt:lpwstr>2052-12.1.0.26895</vt:lpwstr>
  </property>
  <property fmtid="{D5CDD505-2E9C-101B-9397-08002B2CF9AE}" pid="4" name="ICV">
    <vt:lpwstr>D95FCBC5D8204A6CAB7BEB744D91E9E9_12</vt:lpwstr>
  </property>
</Properties>
</file>